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016F" w:rsidRDefault="00E2016F" w:rsidP="00E2016F">
      <w:pPr>
        <w:spacing w:line="560" w:lineRule="exact"/>
        <w:jc w:val="center"/>
        <w:rPr>
          <w:rFonts w:ascii="方正大标宋简体" w:eastAsia="方正大标宋简体" w:hAnsi="方正大标宋简体"/>
          <w:sz w:val="44"/>
          <w:szCs w:val="44"/>
        </w:rPr>
      </w:pPr>
      <w:r>
        <w:rPr>
          <w:rFonts w:ascii="方正大标宋简体" w:eastAsia="方正大标宋简体" w:hAnsi="方正大标宋简体" w:cs="方正大标宋简体" w:hint="eastAsia"/>
          <w:sz w:val="44"/>
          <w:szCs w:val="44"/>
        </w:rPr>
        <w:t>浙江图书馆曙光路总馆大厅读者综合服务区外包项目需求</w:t>
      </w:r>
    </w:p>
    <w:p w:rsidR="00E2016F" w:rsidRDefault="00E2016F" w:rsidP="00E2016F">
      <w:pPr>
        <w:spacing w:line="440" w:lineRule="exact"/>
        <w:jc w:val="center"/>
        <w:rPr>
          <w:rFonts w:ascii="仿宋_GB2312" w:eastAsia="仿宋_GB2312" w:hAnsi="仿宋_GB2312"/>
          <w:sz w:val="28"/>
          <w:szCs w:val="28"/>
        </w:rPr>
      </w:pPr>
      <w:r>
        <w:rPr>
          <w:rFonts w:ascii="仿宋_GB2312" w:eastAsia="仿宋_GB2312" w:hAnsi="仿宋_GB2312" w:cs="仿宋_GB2312" w:hint="eastAsia"/>
          <w:sz w:val="28"/>
          <w:szCs w:val="28"/>
        </w:rPr>
        <w:t>（以下浙江图书馆为甲方</w:t>
      </w:r>
      <w:r>
        <w:rPr>
          <w:rFonts w:ascii="仿宋_GB2312" w:eastAsia="仿宋_GB2312" w:hAnsi="仿宋_GB2312" w:cs="仿宋_GB2312"/>
          <w:sz w:val="28"/>
          <w:szCs w:val="28"/>
        </w:rPr>
        <w:t>,</w:t>
      </w:r>
      <w:r>
        <w:rPr>
          <w:rFonts w:ascii="仿宋_GB2312" w:eastAsia="仿宋_GB2312" w:hAnsi="仿宋_GB2312" w:cs="仿宋_GB2312" w:hint="eastAsia"/>
          <w:sz w:val="28"/>
          <w:szCs w:val="28"/>
        </w:rPr>
        <w:t>承包商为乙方。）</w:t>
      </w:r>
    </w:p>
    <w:p w:rsidR="00E2016F" w:rsidRDefault="00E2016F" w:rsidP="00E2016F">
      <w:pPr>
        <w:spacing w:line="440" w:lineRule="exact"/>
        <w:ind w:firstLineChars="200" w:firstLine="560"/>
        <w:rPr>
          <w:rFonts w:ascii="仿宋_GB2312" w:eastAsia="仿宋_GB2312" w:hAnsi="仿宋_GB2312" w:cs="仿宋_GB2312"/>
          <w:bCs/>
          <w:color w:val="000000"/>
          <w:sz w:val="28"/>
          <w:szCs w:val="28"/>
        </w:rPr>
      </w:pPr>
    </w:p>
    <w:p w:rsidR="00E2016F" w:rsidRDefault="00E2016F" w:rsidP="00E2016F">
      <w:pPr>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bCs/>
          <w:color w:val="000000"/>
          <w:sz w:val="28"/>
          <w:szCs w:val="28"/>
        </w:rPr>
        <w:t>本项目采用年管理费方式进行报价，即承包方以自主经营自负盈亏的方式在综合考虑各项经营收支费用的基础上向甲方缴纳年管理费</w:t>
      </w:r>
      <w:r>
        <w:rPr>
          <w:rFonts w:ascii="仿宋_GB2312" w:eastAsia="仿宋_GB2312" w:hAnsi="仿宋_GB2312" w:cs="仿宋_GB2312" w:hint="eastAsia"/>
          <w:sz w:val="28"/>
          <w:szCs w:val="28"/>
        </w:rPr>
        <w:t>，同时提出方案。甲方根据</w:t>
      </w:r>
      <w:r>
        <w:rPr>
          <w:rFonts w:ascii="仿宋_GB2312" w:eastAsia="仿宋_GB2312" w:hAnsi="仿宋_GB2312" w:hint="eastAsia"/>
          <w:sz w:val="28"/>
          <w:szCs w:val="28"/>
        </w:rPr>
        <w:t>品牌、价格、方案、服务等进行综合评价，采用竞争性谈判方式评出中标单位。</w:t>
      </w:r>
    </w:p>
    <w:p w:rsidR="00E2016F" w:rsidRDefault="00E2016F" w:rsidP="00E2016F">
      <w:pPr>
        <w:spacing w:line="480" w:lineRule="exact"/>
        <w:ind w:firstLineChars="200" w:firstLine="562"/>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一、招标项目基本情况</w:t>
      </w:r>
    </w:p>
    <w:p w:rsidR="00E2016F" w:rsidRDefault="00E2016F" w:rsidP="00E2016F">
      <w:pPr>
        <w:spacing w:line="480" w:lineRule="exact"/>
        <w:ind w:firstLineChars="200" w:firstLine="560"/>
        <w:rPr>
          <w:rFonts w:ascii="仿宋_GB2312" w:eastAsia="仿宋_GB2312" w:hAnsi="仿宋_GB2312" w:cs="仿宋_GB2312"/>
          <w:sz w:val="28"/>
          <w:szCs w:val="28"/>
        </w:rPr>
      </w:pPr>
      <w:r>
        <w:rPr>
          <w:rFonts w:ascii="仿宋_GB2312" w:eastAsia="仿宋_GB2312" w:hAnsi="仿宋_GB2312" w:hint="eastAsia"/>
          <w:sz w:val="28"/>
          <w:szCs w:val="28"/>
        </w:rPr>
        <w:t>现有曙光路73号浙江图书馆一楼大厅区域读者综合服务区，进行外包招标，主要用途为：书店，文创产品展示与销售，西式点心，咖啡茶饮，品牌超市、高级图文店，快捷花店，自助售卖设备，快照概念店等。该区域</w:t>
      </w:r>
      <w:r>
        <w:rPr>
          <w:rFonts w:ascii="仿宋_GB2312" w:eastAsia="仿宋_GB2312" w:hAnsi="仿宋_GB2312" w:cs="仿宋_GB2312" w:hint="eastAsia"/>
          <w:sz w:val="28"/>
          <w:szCs w:val="28"/>
        </w:rPr>
        <w:t>共有A、B、C、D、E、F、G六个区块，各区块面积分别为：76㎡,24㎡,57㎡,18㎡,75㎡,100㎡，300㎡,详见浙江图书馆曙光路总馆一楼大厅读者综合服务区域示意图。</w:t>
      </w:r>
    </w:p>
    <w:p w:rsidR="00E2016F" w:rsidRDefault="00E2016F" w:rsidP="00E2016F">
      <w:pPr>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另外加附属用房，如图H所示，共7间。</w:t>
      </w:r>
    </w:p>
    <w:p w:rsidR="00E2016F" w:rsidRDefault="00E2016F" w:rsidP="00E2016F">
      <w:pPr>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楷体_GB2312" w:eastAsia="楷体_GB2312" w:hAnsi="楷体_GB2312" w:cs="楷体_GB2312" w:hint="eastAsia"/>
          <w:sz w:val="28"/>
          <w:szCs w:val="28"/>
        </w:rPr>
        <w:t>注：A、D、E、G四个区域实际可使用面积视乙方方案，经甲乙双方确认为准</w:t>
      </w:r>
      <w:r>
        <w:rPr>
          <w:rFonts w:ascii="仿宋_GB2312" w:eastAsia="仿宋_GB2312" w:hAnsi="仿宋_GB2312" w:cs="仿宋_GB2312" w:hint="eastAsia"/>
          <w:sz w:val="28"/>
          <w:szCs w:val="28"/>
        </w:rPr>
        <w:t>）</w:t>
      </w:r>
    </w:p>
    <w:p w:rsidR="00E2016F" w:rsidRDefault="00E2016F" w:rsidP="00E2016F">
      <w:pPr>
        <w:spacing w:line="480" w:lineRule="exact"/>
        <w:ind w:firstLineChars="200" w:firstLine="562"/>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二、承包内容、总体要求和承包期限</w:t>
      </w:r>
    </w:p>
    <w:p w:rsidR="00E2016F" w:rsidRDefault="00E2016F" w:rsidP="00E2016F">
      <w:pPr>
        <w:spacing w:line="480" w:lineRule="exact"/>
        <w:ind w:firstLineChars="200" w:firstLine="560"/>
        <w:rPr>
          <w:rFonts w:ascii="仿宋_GB2312" w:eastAsia="仿宋_GB2312" w:hAnsi="仿宋_GB2312"/>
          <w:sz w:val="28"/>
          <w:szCs w:val="28"/>
        </w:rPr>
      </w:pPr>
      <w:r>
        <w:rPr>
          <w:rFonts w:ascii="仿宋_GB2312" w:eastAsia="仿宋_GB2312" w:hAnsi="仿宋_GB2312" w:cs="仿宋_GB2312" w:hint="eastAsia"/>
          <w:sz w:val="28"/>
          <w:szCs w:val="28"/>
        </w:rPr>
        <w:t>1.乙方在甲方监督和管理下实行自主经营、自负盈亏。</w:t>
      </w:r>
    </w:p>
    <w:p w:rsidR="00E2016F" w:rsidRDefault="00E2016F" w:rsidP="00E2016F">
      <w:pPr>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2.乙方必须制定相应的规章制度和规范，为读者提供优质的服务。</w:t>
      </w:r>
    </w:p>
    <w:p w:rsidR="00E2016F" w:rsidRDefault="00E2016F" w:rsidP="00E2016F">
      <w:pPr>
        <w:spacing w:line="480" w:lineRule="exact"/>
        <w:ind w:firstLineChars="200" w:firstLine="560"/>
        <w:rPr>
          <w:rFonts w:ascii="仿宋_GB2312" w:eastAsia="仿宋_GB2312" w:hAnsi="仿宋_GB2312"/>
          <w:sz w:val="28"/>
          <w:szCs w:val="28"/>
        </w:rPr>
      </w:pPr>
      <w:r>
        <w:rPr>
          <w:rFonts w:ascii="仿宋_GB2312" w:eastAsia="仿宋_GB2312" w:hAnsi="仿宋_GB2312" w:cs="仿宋_GB2312" w:hint="eastAsia"/>
          <w:sz w:val="28"/>
          <w:szCs w:val="28"/>
        </w:rPr>
        <w:t>3.</w:t>
      </w:r>
      <w:r>
        <w:rPr>
          <w:rFonts w:ascii="仿宋_GB2312" w:eastAsia="仿宋_GB2312" w:hAnsi="仿宋_GB2312" w:cs="仿宋_GB2312" w:hint="eastAsia"/>
          <w:b/>
          <w:bCs/>
          <w:sz w:val="28"/>
          <w:szCs w:val="28"/>
        </w:rPr>
        <w:t>乙方提出经营方案和管理费。</w:t>
      </w:r>
    </w:p>
    <w:p w:rsidR="00E2016F" w:rsidRDefault="00E2016F" w:rsidP="00E2016F">
      <w:pPr>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4.乙方中标并在合同签订后，必须按照国家相关主管部门规定办理运营手续。</w:t>
      </w:r>
    </w:p>
    <w:p w:rsidR="00E2016F" w:rsidRDefault="00E2016F" w:rsidP="00E2016F">
      <w:pPr>
        <w:spacing w:line="480" w:lineRule="exact"/>
        <w:ind w:firstLineChars="200" w:firstLine="562"/>
        <w:rPr>
          <w:rFonts w:ascii="仿宋_GB2312" w:eastAsia="仿宋_GB2312" w:hAnsi="仿宋_GB2312" w:cs="仿宋_GB2312"/>
          <w:sz w:val="28"/>
          <w:szCs w:val="28"/>
        </w:rPr>
      </w:pPr>
      <w:r>
        <w:rPr>
          <w:rFonts w:ascii="仿宋_GB2312" w:eastAsia="仿宋_GB2312" w:hAnsi="仿宋_GB2312" w:cs="仿宋_GB2312" w:hint="eastAsia"/>
          <w:b/>
          <w:bCs/>
          <w:sz w:val="28"/>
          <w:szCs w:val="28"/>
        </w:rPr>
        <w:t>5.合同期为二年，满意可再续签。</w:t>
      </w:r>
    </w:p>
    <w:p w:rsidR="00E2016F" w:rsidRDefault="00E2016F" w:rsidP="00E2016F">
      <w:pPr>
        <w:spacing w:line="480" w:lineRule="exact"/>
        <w:ind w:firstLineChars="200" w:firstLine="562"/>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三、乙方资质要求</w:t>
      </w:r>
    </w:p>
    <w:p w:rsidR="00E2016F" w:rsidRDefault="00E2016F" w:rsidP="00E2016F">
      <w:pPr>
        <w:spacing w:line="480" w:lineRule="exact"/>
        <w:ind w:firstLineChars="200" w:firstLine="560"/>
        <w:rPr>
          <w:rFonts w:ascii="仿宋_GB2312" w:eastAsia="仿宋_GB2312" w:hAnsi="仿宋_GB2312"/>
          <w:sz w:val="28"/>
          <w:szCs w:val="28"/>
        </w:rPr>
      </w:pPr>
      <w:r>
        <w:rPr>
          <w:rFonts w:ascii="仿宋_GB2312" w:eastAsia="仿宋_GB2312" w:hAnsi="仿宋_GB2312" w:cs="仿宋_GB2312" w:hint="eastAsia"/>
          <w:sz w:val="28"/>
          <w:szCs w:val="28"/>
        </w:rPr>
        <w:t>有较高知名度的连锁服务商。</w:t>
      </w:r>
    </w:p>
    <w:p w:rsidR="00E2016F" w:rsidRDefault="00E2016F" w:rsidP="00E2016F">
      <w:pPr>
        <w:spacing w:line="480" w:lineRule="exact"/>
        <w:ind w:firstLineChars="200" w:firstLine="562"/>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四、服务时段要求</w:t>
      </w:r>
    </w:p>
    <w:p w:rsidR="00E2016F" w:rsidRDefault="00E2016F" w:rsidP="00E2016F">
      <w:pPr>
        <w:spacing w:line="480" w:lineRule="exact"/>
        <w:ind w:firstLineChars="200" w:firstLine="560"/>
        <w:rPr>
          <w:rFonts w:ascii="仿宋_GB2312" w:eastAsia="仿宋_GB2312" w:hAnsi="仿宋_GB2312"/>
          <w:sz w:val="28"/>
          <w:szCs w:val="28"/>
        </w:rPr>
      </w:pPr>
      <w:r>
        <w:rPr>
          <w:rFonts w:ascii="仿宋_GB2312" w:eastAsia="仿宋_GB2312" w:hAnsi="仿宋_GB2312" w:cs="仿宋_GB2312" w:hint="eastAsia"/>
          <w:sz w:val="28"/>
          <w:szCs w:val="28"/>
        </w:rPr>
        <w:lastRenderedPageBreak/>
        <w:t>早上</w:t>
      </w:r>
      <w:r>
        <w:rPr>
          <w:rFonts w:ascii="仿宋_GB2312" w:eastAsia="仿宋_GB2312" w:hAnsi="仿宋_GB2312" w:cs="仿宋_GB2312"/>
          <w:sz w:val="28"/>
          <w:szCs w:val="28"/>
        </w:rPr>
        <w:t>7:</w:t>
      </w:r>
      <w:r>
        <w:rPr>
          <w:rFonts w:ascii="仿宋_GB2312" w:eastAsia="仿宋_GB2312" w:hAnsi="仿宋_GB2312" w:cs="仿宋_GB2312" w:hint="eastAsia"/>
          <w:sz w:val="28"/>
          <w:szCs w:val="28"/>
        </w:rPr>
        <w:t>00</w:t>
      </w:r>
      <w:r>
        <w:rPr>
          <w:rFonts w:ascii="仿宋_GB2312" w:eastAsia="仿宋_GB2312" w:hAnsi="仿宋_GB2312" w:cs="仿宋_GB2312"/>
          <w:sz w:val="28"/>
          <w:szCs w:val="28"/>
        </w:rPr>
        <w:t>—</w:t>
      </w:r>
      <w:r>
        <w:rPr>
          <w:rFonts w:ascii="仿宋_GB2312" w:eastAsia="仿宋_GB2312" w:hAnsi="仿宋_GB2312" w:cs="仿宋_GB2312" w:hint="eastAsia"/>
          <w:sz w:val="28"/>
          <w:szCs w:val="28"/>
        </w:rPr>
        <w:t>晚上20</w:t>
      </w:r>
      <w:r>
        <w:rPr>
          <w:rFonts w:ascii="仿宋_GB2312" w:eastAsia="仿宋_GB2312" w:hAnsi="仿宋_GB2312" w:cs="仿宋_GB2312"/>
          <w:sz w:val="28"/>
          <w:szCs w:val="28"/>
        </w:rPr>
        <w:t>:</w:t>
      </w:r>
      <w:r>
        <w:rPr>
          <w:rFonts w:ascii="仿宋_GB2312" w:eastAsia="仿宋_GB2312" w:hAnsi="仿宋_GB2312" w:cs="仿宋_GB2312" w:hint="eastAsia"/>
          <w:sz w:val="28"/>
          <w:szCs w:val="28"/>
        </w:rPr>
        <w:t>3</w:t>
      </w:r>
      <w:r>
        <w:rPr>
          <w:rFonts w:ascii="仿宋_GB2312" w:eastAsia="仿宋_GB2312" w:hAnsi="仿宋_GB2312" w:cs="仿宋_GB2312"/>
          <w:sz w:val="28"/>
          <w:szCs w:val="28"/>
        </w:rPr>
        <w:t>0</w:t>
      </w:r>
      <w:r>
        <w:rPr>
          <w:rFonts w:ascii="仿宋_GB2312" w:eastAsia="仿宋_GB2312" w:hAnsi="仿宋_GB2312" w:cs="仿宋_GB2312" w:hint="eastAsia"/>
          <w:sz w:val="28"/>
          <w:szCs w:val="28"/>
        </w:rPr>
        <w:t>；（若图书馆开放时间调整，需同步调整）</w:t>
      </w:r>
    </w:p>
    <w:p w:rsidR="00E2016F" w:rsidRDefault="00E2016F" w:rsidP="00E2016F">
      <w:pPr>
        <w:pStyle w:val="a3"/>
        <w:numPr>
          <w:ilvl w:val="0"/>
          <w:numId w:val="1"/>
        </w:numPr>
        <w:adjustRightInd w:val="0"/>
        <w:snapToGrid w:val="0"/>
        <w:spacing w:after="0" w:line="480" w:lineRule="exact"/>
        <w:ind w:left="2" w:firstLineChars="200" w:firstLine="562"/>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投标须知</w:t>
      </w:r>
    </w:p>
    <w:p w:rsidR="00E2016F" w:rsidRDefault="00E2016F" w:rsidP="00E2016F">
      <w:pPr>
        <w:pStyle w:val="a3"/>
        <w:numPr>
          <w:ilvl w:val="255"/>
          <w:numId w:val="0"/>
        </w:numPr>
        <w:adjustRightInd w:val="0"/>
        <w:snapToGrid w:val="0"/>
        <w:spacing w:after="0" w:line="480" w:lineRule="exact"/>
        <w:ind w:leftChars="4" w:left="8"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1.乙方</w:t>
      </w:r>
      <w:r>
        <w:rPr>
          <w:rFonts w:ascii="仿宋_GB2312" w:eastAsia="仿宋_GB2312" w:hAnsi="仿宋_GB2312" w:cs="仿宋_GB2312" w:hint="eastAsia"/>
          <w:sz w:val="28"/>
          <w:szCs w:val="28"/>
        </w:rPr>
        <w:t>可选择一个或多个区域进行承包</w:t>
      </w:r>
      <w:r>
        <w:rPr>
          <w:rFonts w:ascii="仿宋_GB2312" w:eastAsia="仿宋_GB2312" w:hAnsi="仿宋_GB2312" w:cs="仿宋_GB2312" w:hint="eastAsia"/>
          <w:color w:val="000000"/>
          <w:sz w:val="28"/>
          <w:szCs w:val="28"/>
        </w:rPr>
        <w:t>。</w:t>
      </w:r>
    </w:p>
    <w:p w:rsidR="00E2016F" w:rsidRDefault="00E2016F" w:rsidP="00E2016F">
      <w:pPr>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2.乙方需提供场地的用途，装修设计方案。如中标，方案需经甲方评审通过后方可实施。</w:t>
      </w:r>
    </w:p>
    <w:p w:rsidR="00E2016F" w:rsidRDefault="00E2016F" w:rsidP="00E2016F">
      <w:pPr>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3.乙方提出上交甲方管理费额度。</w:t>
      </w:r>
    </w:p>
    <w:p w:rsidR="00E2016F" w:rsidRDefault="00E2016F" w:rsidP="00E2016F">
      <w:pPr>
        <w:spacing w:line="480" w:lineRule="exact"/>
        <w:ind w:firstLineChars="200" w:firstLine="562"/>
        <w:rPr>
          <w:rFonts w:ascii="仿宋_GB2312" w:eastAsia="仿宋_GB2312" w:hAnsi="仿宋_GB2312"/>
          <w:b/>
          <w:bCs/>
          <w:sz w:val="28"/>
          <w:szCs w:val="28"/>
        </w:rPr>
      </w:pPr>
      <w:r>
        <w:rPr>
          <w:rFonts w:ascii="仿宋_GB2312" w:eastAsia="仿宋_GB2312" w:hAnsi="仿宋_GB2312" w:cs="仿宋_GB2312" w:hint="eastAsia"/>
          <w:b/>
          <w:bCs/>
          <w:sz w:val="28"/>
          <w:szCs w:val="28"/>
        </w:rPr>
        <w:t>六、运营要求</w:t>
      </w:r>
    </w:p>
    <w:p w:rsidR="00E2016F" w:rsidRDefault="00E2016F" w:rsidP="00E2016F">
      <w:pPr>
        <w:pStyle w:val="a3"/>
        <w:adjustRightInd w:val="0"/>
        <w:snapToGrid w:val="0"/>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应遵守国家相关法律法规及标准开展经营活动。办理相应的营业执照，具备相关的资质，不得超范围经营。</w:t>
      </w:r>
    </w:p>
    <w:p w:rsidR="00E2016F" w:rsidRDefault="00E2016F" w:rsidP="00E2016F">
      <w:pPr>
        <w:pStyle w:val="a3"/>
        <w:adjustRightInd w:val="0"/>
        <w:snapToGrid w:val="0"/>
        <w:spacing w:line="480" w:lineRule="exact"/>
        <w:ind w:leftChars="-48" w:left="-101" w:firstLineChars="200" w:firstLine="562"/>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七、</w:t>
      </w:r>
      <w:r>
        <w:rPr>
          <w:rFonts w:ascii="仿宋_GB2312" w:eastAsia="仿宋_GB2312" w:hAnsi="仿宋_GB2312" w:cs="仿宋_GB2312"/>
          <w:b/>
          <w:bCs/>
          <w:sz w:val="28"/>
          <w:szCs w:val="28"/>
        </w:rPr>
        <w:t>劳动管理</w:t>
      </w:r>
    </w:p>
    <w:p w:rsidR="00E2016F" w:rsidRDefault="00E2016F" w:rsidP="00E2016F">
      <w:pPr>
        <w:pStyle w:val="a3"/>
        <w:adjustRightInd w:val="0"/>
        <w:snapToGrid w:val="0"/>
        <w:spacing w:line="480" w:lineRule="exact"/>
        <w:ind w:left="1"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1.乙方</w:t>
      </w:r>
      <w:r>
        <w:rPr>
          <w:rFonts w:ascii="仿宋_GB2312" w:eastAsia="仿宋_GB2312" w:hAnsi="仿宋_GB2312" w:cs="仿宋_GB2312"/>
          <w:sz w:val="28"/>
          <w:szCs w:val="28"/>
        </w:rPr>
        <w:t>从实际出发，根据岗位要求，劳动条件和其他方面的实际情况，合理确定</w:t>
      </w:r>
      <w:r>
        <w:rPr>
          <w:rFonts w:ascii="仿宋_GB2312" w:eastAsia="仿宋_GB2312" w:hAnsi="仿宋_GB2312" w:cs="仿宋_GB2312" w:hint="eastAsia"/>
          <w:sz w:val="28"/>
          <w:szCs w:val="28"/>
        </w:rPr>
        <w:t>员</w:t>
      </w:r>
      <w:r>
        <w:rPr>
          <w:rFonts w:ascii="仿宋_GB2312" w:eastAsia="仿宋_GB2312" w:hAnsi="仿宋_GB2312" w:cs="仿宋_GB2312"/>
          <w:sz w:val="28"/>
          <w:szCs w:val="28"/>
        </w:rPr>
        <w:t>工</w:t>
      </w:r>
      <w:r>
        <w:rPr>
          <w:rFonts w:ascii="仿宋_GB2312" w:eastAsia="仿宋_GB2312" w:hAnsi="仿宋_GB2312" w:cs="仿宋_GB2312" w:hint="eastAsia"/>
          <w:sz w:val="28"/>
          <w:szCs w:val="28"/>
        </w:rPr>
        <w:t>数</w:t>
      </w:r>
      <w:r>
        <w:rPr>
          <w:rFonts w:ascii="仿宋_GB2312" w:eastAsia="仿宋_GB2312" w:hAnsi="仿宋_GB2312" w:cs="仿宋_GB2312"/>
          <w:sz w:val="28"/>
          <w:szCs w:val="28"/>
        </w:rPr>
        <w:t>。</w:t>
      </w:r>
    </w:p>
    <w:p w:rsidR="00E2016F" w:rsidRDefault="00E2016F" w:rsidP="00E2016F">
      <w:pPr>
        <w:pStyle w:val="a3"/>
        <w:adjustRightInd w:val="0"/>
        <w:snapToGrid w:val="0"/>
        <w:spacing w:line="480" w:lineRule="exact"/>
        <w:ind w:left="1"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sz w:val="28"/>
          <w:szCs w:val="28"/>
        </w:rPr>
        <w:t>认真执行国家有关劳动保护的规定，重视劳动保护教育，落实劳动保护措施，逐步改善劳动条件，确保</w:t>
      </w:r>
      <w:r>
        <w:rPr>
          <w:rFonts w:ascii="仿宋_GB2312" w:eastAsia="仿宋_GB2312" w:hAnsi="仿宋_GB2312" w:cs="仿宋_GB2312" w:hint="eastAsia"/>
          <w:sz w:val="28"/>
          <w:szCs w:val="28"/>
        </w:rPr>
        <w:t>员</w:t>
      </w:r>
      <w:r>
        <w:rPr>
          <w:rFonts w:ascii="仿宋_GB2312" w:eastAsia="仿宋_GB2312" w:hAnsi="仿宋_GB2312" w:cs="仿宋_GB2312"/>
          <w:sz w:val="28"/>
          <w:szCs w:val="28"/>
        </w:rPr>
        <w:t>工的安全与健康。</w:t>
      </w:r>
    </w:p>
    <w:p w:rsidR="00E2016F" w:rsidRDefault="00E2016F" w:rsidP="00E2016F">
      <w:pPr>
        <w:pStyle w:val="a3"/>
        <w:adjustRightInd w:val="0"/>
        <w:snapToGrid w:val="0"/>
        <w:spacing w:line="480" w:lineRule="exact"/>
        <w:ind w:left="1"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3.乙方应将聘用员工的相关材料（包括体检证明、年龄、从事岗位）等报甲方审查，特殊岗位必须持证上岗，上岗员工要求政治上可靠、身体素质好、无不良行为记录方可录用。</w:t>
      </w:r>
    </w:p>
    <w:p w:rsidR="00E2016F" w:rsidRDefault="00E2016F" w:rsidP="00E2016F">
      <w:pPr>
        <w:pStyle w:val="a3"/>
        <w:adjustRightInd w:val="0"/>
        <w:snapToGrid w:val="0"/>
        <w:spacing w:line="480" w:lineRule="exact"/>
        <w:ind w:left="1"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4.员工保险要求</w:t>
      </w:r>
    </w:p>
    <w:p w:rsidR="00E2016F" w:rsidRDefault="00E2016F" w:rsidP="00E2016F">
      <w:pPr>
        <w:pStyle w:val="a3"/>
        <w:adjustRightInd w:val="0"/>
        <w:snapToGrid w:val="0"/>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1）员工人身意外：在承包期内，乙方所有员工的事故由乙方自行全权负责（如乙方应对其员工投保人身意外险），及时为进场员工投保第三者责任险并及时向甲方出示保险凭证，以保证甲方在乙方员工索偿时不受任何责任的约束。</w:t>
      </w:r>
    </w:p>
    <w:p w:rsidR="00E2016F" w:rsidRDefault="00E2016F" w:rsidP="00E2016F">
      <w:pPr>
        <w:pStyle w:val="a3"/>
        <w:adjustRightInd w:val="0"/>
        <w:snapToGrid w:val="0"/>
        <w:spacing w:line="480" w:lineRule="exact"/>
        <w:ind w:firstLineChars="200" w:firstLine="560"/>
        <w:rPr>
          <w:rFonts w:ascii="仿宋_GB2312" w:eastAsia="仿宋_GB2312" w:hAnsi="仿宋_GB2312" w:cs="仿宋_GB2312"/>
          <w:b/>
          <w:bCs/>
          <w:sz w:val="28"/>
          <w:szCs w:val="28"/>
        </w:rPr>
      </w:pPr>
      <w:r>
        <w:rPr>
          <w:rFonts w:ascii="仿宋_GB2312" w:eastAsia="仿宋_GB2312" w:hAnsi="仿宋_GB2312" w:cs="仿宋_GB2312" w:hint="eastAsia"/>
          <w:sz w:val="28"/>
          <w:szCs w:val="28"/>
        </w:rPr>
        <w:t>（2）其他保险及费用：乙方应按政府各部门有关规定为全体员工交纳所有相关的社会保险及其他相关费用。乙方应对此全权负责。</w:t>
      </w:r>
    </w:p>
    <w:p w:rsidR="00E2016F" w:rsidRDefault="00E2016F" w:rsidP="00E2016F">
      <w:pPr>
        <w:pStyle w:val="a3"/>
        <w:adjustRightInd w:val="0"/>
        <w:snapToGrid w:val="0"/>
        <w:spacing w:line="480" w:lineRule="exact"/>
        <w:ind w:firstLineChars="200" w:firstLine="562"/>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八、其他要求及相关说明</w:t>
      </w:r>
    </w:p>
    <w:p w:rsidR="00E2016F" w:rsidRDefault="00E2016F" w:rsidP="00E2016F">
      <w:pPr>
        <w:pStyle w:val="a3"/>
        <w:adjustRightInd w:val="0"/>
        <w:snapToGrid w:val="0"/>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1.乙方在承包期内与外界发生的一切债权债务等纠纷均与甲方</w:t>
      </w:r>
      <w:r>
        <w:rPr>
          <w:rFonts w:ascii="仿宋_GB2312" w:eastAsia="仿宋_GB2312" w:hAnsi="仿宋_GB2312" w:cs="仿宋_GB2312" w:hint="eastAsia"/>
          <w:sz w:val="28"/>
          <w:szCs w:val="28"/>
        </w:rPr>
        <w:lastRenderedPageBreak/>
        <w:t>无关。</w:t>
      </w:r>
    </w:p>
    <w:p w:rsidR="00E2016F" w:rsidRDefault="00E2016F" w:rsidP="00E2016F">
      <w:pPr>
        <w:pStyle w:val="a3"/>
        <w:adjustRightInd w:val="0"/>
        <w:snapToGrid w:val="0"/>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2.乙方要为承包区域的服务工作配备足够的人员，且聘用的工作人员必须符合劳动部门有关用工规定，并经乙方相关专业培训考核合格后持证上岗，甲方有权进行审核，该类费用开支由乙方负担。</w:t>
      </w:r>
    </w:p>
    <w:p w:rsidR="00E2016F" w:rsidRDefault="00E2016F" w:rsidP="00E2016F">
      <w:pPr>
        <w:pStyle w:val="a3"/>
        <w:adjustRightInd w:val="0"/>
        <w:snapToGrid w:val="0"/>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3.遇卫生、消防、安全检查或突发事件时，乙方必须配合甲方及有关部门做好工作，并指定专职人员协助工作，直到完成。</w:t>
      </w:r>
    </w:p>
    <w:p w:rsidR="00E2016F" w:rsidRDefault="00E2016F" w:rsidP="00E2016F">
      <w:pPr>
        <w:pStyle w:val="a3"/>
        <w:adjustRightInd w:val="0"/>
        <w:snapToGrid w:val="0"/>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4.合同期间乙方负责承租区域的设施设备的维护与维修。</w:t>
      </w:r>
    </w:p>
    <w:p w:rsidR="00E2016F" w:rsidRDefault="00E2016F" w:rsidP="00E2016F">
      <w:pPr>
        <w:pStyle w:val="a3"/>
        <w:adjustRightInd w:val="0"/>
        <w:snapToGrid w:val="0"/>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5.甲方提供的各种设备、设施、工具，乙方应安全、规范使用。承包期满或合同解除，甲方按原移交清单进行财产清单验收，除正常使用折旧外，乙方应保证各设备、设施、工具的完好性，如有非正常损坏或遗失，乙方应照价赔偿。</w:t>
      </w:r>
    </w:p>
    <w:p w:rsidR="00E2016F" w:rsidRDefault="00E2016F" w:rsidP="00E2016F">
      <w:pPr>
        <w:pStyle w:val="a3"/>
        <w:adjustRightInd w:val="0"/>
        <w:snapToGrid w:val="0"/>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6甲方保证乙方的员工按规定正常进入承包区域开展服务工作，保证乙方正常的水、电能源供应，如出现故障，应及时维修，确保乙方正常开展服务。</w:t>
      </w:r>
    </w:p>
    <w:p w:rsidR="00E2016F" w:rsidRDefault="00E2016F" w:rsidP="00E2016F">
      <w:pPr>
        <w:pStyle w:val="a3"/>
        <w:adjustRightInd w:val="0"/>
        <w:snapToGrid w:val="0"/>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7.如有读者投诉，按甲方读者投诉处理流程进行处理。有效投诉超过三次，乙方停业整顿，如还不能改正，甲方有权终止合同。</w:t>
      </w:r>
    </w:p>
    <w:p w:rsidR="00E2016F" w:rsidRDefault="00E2016F" w:rsidP="00E2016F">
      <w:pPr>
        <w:pStyle w:val="a3"/>
        <w:adjustRightInd w:val="0"/>
        <w:snapToGrid w:val="0"/>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8.禁止事项</w:t>
      </w:r>
    </w:p>
    <w:p w:rsidR="00E2016F" w:rsidRDefault="00E2016F" w:rsidP="00E2016F">
      <w:pPr>
        <w:pStyle w:val="a3"/>
        <w:adjustRightInd w:val="0"/>
        <w:snapToGrid w:val="0"/>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（1）乙方不得以任何理由向甲方工作人员支付小费或赠送实物，违者将终止合同。乙方人员也不得以任何形式向行政大楼内相关人员索取小费或钱物等。</w:t>
      </w:r>
    </w:p>
    <w:p w:rsidR="00E2016F" w:rsidRDefault="00E2016F" w:rsidP="00E2016F">
      <w:pPr>
        <w:pStyle w:val="a3"/>
        <w:adjustRightInd w:val="0"/>
        <w:snapToGrid w:val="0"/>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（2）乙方不得在承包区域住宿或从事非法活动，也不得从事有损甲方利益的活动，同时不允许在承包区域对甲方正常办公有滋扰性的行为。</w:t>
      </w:r>
    </w:p>
    <w:p w:rsidR="00E2016F" w:rsidRDefault="00E2016F" w:rsidP="00E2016F">
      <w:pPr>
        <w:spacing w:line="480" w:lineRule="exact"/>
        <w:ind w:firstLineChars="200" w:firstLine="560"/>
      </w:pPr>
      <w:r>
        <w:rPr>
          <w:rFonts w:ascii="仿宋_GB2312" w:eastAsia="仿宋_GB2312" w:hAnsi="仿宋_GB2312" w:cs="仿宋_GB2312" w:hint="eastAsia"/>
          <w:sz w:val="28"/>
          <w:szCs w:val="28"/>
        </w:rPr>
        <w:t>（3）未获甲方书面同意，乙方任何时候都不能在承包区域存放易燃易爆有毒、挥发性大或气味浓烈的物品等。</w:t>
      </w:r>
    </w:p>
    <w:p w:rsidR="00E2016F" w:rsidRDefault="00E2016F" w:rsidP="00E2016F">
      <w:pPr>
        <w:sectPr w:rsidR="00E2016F">
          <w:footerReference w:type="default" r:id="rId6"/>
          <w:pgSz w:w="11906" w:h="16838"/>
          <w:pgMar w:top="1440" w:right="1800" w:bottom="1440" w:left="1800" w:header="851" w:footer="992" w:gutter="0"/>
          <w:pgNumType w:start="1"/>
          <w:cols w:space="425"/>
          <w:docGrid w:type="lines" w:linePitch="312"/>
        </w:sectPr>
      </w:pPr>
    </w:p>
    <w:p w:rsidR="0034666D" w:rsidRDefault="00E2016F" w:rsidP="00E2016F">
      <w:r>
        <w:rPr>
          <w:noProof/>
        </w:rPr>
        <w:lastRenderedPageBreak/>
        <mc:AlternateContent>
          <mc:Choice Requires="wps">
            <w:drawing>
              <wp:anchor distT="0" distB="0" distL="114300" distR="114300" simplePos="0" relativeHeight="251660288" behindDoc="0" locked="0" layoutInCell="1" allowOverlap="1" wp14:anchorId="3432792B" wp14:editId="0F5F39DF">
                <wp:simplePos x="0" y="0"/>
                <wp:positionH relativeFrom="column">
                  <wp:posOffset>7346315</wp:posOffset>
                </wp:positionH>
                <wp:positionV relativeFrom="paragraph">
                  <wp:posOffset>4006215</wp:posOffset>
                </wp:positionV>
                <wp:extent cx="295910" cy="390525"/>
                <wp:effectExtent l="4445" t="4445" r="23495" b="5080"/>
                <wp:wrapNone/>
                <wp:docPr id="15" name="文本框 15"/>
                <wp:cNvGraphicFramePr/>
                <a:graphic xmlns:a="http://schemas.openxmlformats.org/drawingml/2006/main">
                  <a:graphicData uri="http://schemas.microsoft.com/office/word/2010/wordprocessingShape">
                    <wps:wsp>
                      <wps:cNvSpPr txBox="1"/>
                      <wps:spPr>
                        <a:xfrm>
                          <a:off x="8127365" y="5415915"/>
                          <a:ext cx="295910" cy="390525"/>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rsidR="00E2016F" w:rsidRDefault="00E2016F" w:rsidP="00E2016F">
                            <w:pPr>
                              <w:rPr>
                                <w:rFonts w:eastAsiaTheme="minorEastAsia"/>
                                <w:color w:val="000000" w:themeColor="text1"/>
                                <w:sz w:val="28"/>
                                <w:szCs w:val="28"/>
                                <w14:shadow w14:blurRad="38100" w14:dist="19050" w14:dir="2700000" w14:sx="100000" w14:sy="100000" w14:kx="0" w14:ky="0" w14:algn="tl">
                                  <w14:schemeClr w14:val="dk1">
                                    <w14:alpha w14:val="60000"/>
                                  </w14:schemeClr>
                                </w14:shadow>
                                <w14:props3d w14:extrusionH="0" w14:contourW="0" w14:prstMaterial="clear"/>
                              </w:rPr>
                            </w:pPr>
                            <w:r>
                              <w:rPr>
                                <w:rFonts w:hint="eastAsia"/>
                                <w:color w:val="000000" w:themeColor="text1"/>
                                <w:sz w:val="28"/>
                                <w:szCs w:val="28"/>
                                <w14:shadow w14:blurRad="38100" w14:dist="19050" w14:dir="2700000" w14:sx="100000" w14:sy="100000" w14:kx="0" w14:ky="0" w14:algn="tl">
                                  <w14:schemeClr w14:val="dk1">
                                    <w14:alpha w14:val="60000"/>
                                  </w14:schemeClr>
                                </w14:shadow>
                                <w14:props3d w14:extrusionH="0" w14:contourW="0" w14:prstMaterial="clear"/>
                              </w:rPr>
                              <w:t>H</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文本框 15" o:spid="_x0000_s1026" type="#_x0000_t202" style="position:absolute;left:0;text-align:left;margin-left:578.45pt;margin-top:315.45pt;width:23.3pt;height:30.7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" fillcolor="white [3201]" strokecolor="white [3212]" strokeweight=".5pt">
                <v:textbox>
                  <w:txbxContent>
                    <w:p w:rsidR="00E2016F" w:rsidRDefault="00E2016F" w:rsidP="00E2016F">
                      <w:pPr>
                        <w:rPr>
                          <w:rFonts w:eastAsiaTheme="minorEastAsia"/>
                          <w:color w:val="000000" w:themeColor="text1"/>
                          <w:sz w:val="28"/>
                          <w:szCs w:val="28"/>
                          <w14:shadow w14:blurRad="38100" w14:dist="19050" w14:dir="2700000" w14:sx="100000" w14:sy="100000" w14:kx="0" w14:ky="0" w14:algn="tl">
                            <w14:schemeClr w14:val="dk1">
                              <w14:alpha w14:val="60000"/>
                            </w14:schemeClr>
                          </w14:shadow>
                          <w14:props3d w14:extrusionH="0" w14:contourW="0" w14:prstMaterial="clear"/>
                        </w:rPr>
                      </w:pPr>
                      <w:r>
                        <w:rPr>
                          <w:rFonts w:hint="eastAsia"/>
                          <w:color w:val="000000" w:themeColor="text1"/>
                          <w:sz w:val="28"/>
                          <w:szCs w:val="28"/>
                          <w14:shadow w14:blurRad="38100" w14:dist="19050" w14:dir="2700000" w14:sx="100000" w14:sy="100000" w14:kx="0" w14:ky="0" w14:algn="tl">
                            <w14:schemeClr w14:val="dk1">
                              <w14:alpha w14:val="60000"/>
                            </w14:schemeClr>
                          </w14:shadow>
                          <w14:props3d w14:extrusionH="0" w14:contourW="0" w14:prstMaterial="clear"/>
                        </w:rPr>
                        <w:t>H</w:t>
                      </w:r>
                    </w:p>
                  </w:txbxContent>
                </v:textbox>
              </v:shape>
            </w:pict>
          </mc:Fallback>
        </mc:AlternateContent>
      </w:r>
      <w:r>
        <w:rPr>
          <w:noProof/>
        </w:rPr>
        <mc:AlternateContent>
          <mc:Choice Requires="wpg">
            <w:drawing>
              <wp:anchor distT="0" distB="0" distL="114300" distR="114300" simplePos="0" relativeHeight="251661312" behindDoc="0" locked="0" layoutInCell="1" allowOverlap="1" wp14:anchorId="533BCBEB" wp14:editId="380AE125">
                <wp:simplePos x="0" y="0"/>
                <wp:positionH relativeFrom="column">
                  <wp:posOffset>6170930</wp:posOffset>
                </wp:positionH>
                <wp:positionV relativeFrom="paragraph">
                  <wp:posOffset>3653790</wp:posOffset>
                </wp:positionV>
                <wp:extent cx="1985010" cy="713105"/>
                <wp:effectExtent l="33655" t="0" r="19685" b="74295"/>
                <wp:wrapNone/>
                <wp:docPr id="2" name="组合 2"/>
                <wp:cNvGraphicFramePr/>
                <a:graphic xmlns:a="http://schemas.openxmlformats.org/drawingml/2006/main">
                  <a:graphicData uri="http://schemas.microsoft.com/office/word/2010/wordprocessingGroup">
                    <wpg:wgp>
                      <wpg:cNvGrpSpPr/>
                      <wpg:grpSpPr>
                        <a:xfrm>
                          <a:off x="0" y="0"/>
                          <a:ext cx="1985010" cy="713105"/>
                          <a:chOff x="14601" y="93442"/>
                          <a:chExt cx="3126" cy="1123"/>
                        </a:xfrm>
                      </wpg:grpSpPr>
                      <wps:wsp>
                        <wps:cNvPr id="6" name="矩形 6"/>
                        <wps:cNvSpPr/>
                        <wps:spPr>
                          <a:xfrm rot="20280000">
                            <a:off x="15661" y="93892"/>
                            <a:ext cx="356" cy="26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 name="矩形 7"/>
                        <wps:cNvSpPr/>
                        <wps:spPr>
                          <a:xfrm rot="20280000">
                            <a:off x="15166" y="94072"/>
                            <a:ext cx="356" cy="26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 name="矩形 8"/>
                        <wps:cNvSpPr/>
                        <wps:spPr>
                          <a:xfrm rot="20280000">
                            <a:off x="14601" y="94301"/>
                            <a:ext cx="460" cy="26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0" name="矩形 10"/>
                        <wps:cNvSpPr/>
                        <wps:spPr>
                          <a:xfrm rot="20280000">
                            <a:off x="16126" y="93697"/>
                            <a:ext cx="356" cy="26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矩形 9"/>
                        <wps:cNvSpPr/>
                        <wps:spPr>
                          <a:xfrm rot="20280000">
                            <a:off x="16502" y="93532"/>
                            <a:ext cx="356" cy="26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1" name="矩形 11"/>
                        <wps:cNvSpPr/>
                        <wps:spPr>
                          <a:xfrm>
                            <a:off x="16936" y="93472"/>
                            <a:ext cx="356" cy="1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2" name="矩形 12"/>
                        <wps:cNvSpPr/>
                        <wps:spPr>
                          <a:xfrm>
                            <a:off x="17371" y="93442"/>
                            <a:ext cx="356" cy="1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2" o:spid="_x0000_s1026" style="position:absolute;left:0;text-align:left;margin-left:485.9pt;margin-top:287.7pt;width:156.3pt;height:56.15pt;z-index:251661312" coordorigin="14601,93442" coordsize="3126,11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">
                <v:rect id="矩形 6" o:spid="_x0000_s1027" style="position:absolute;left:15661;top:93892;width:356;height:265;rotation:-2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vyLsUA&#10;AADaAAAADwAAAGRycy9kb3ducmV2LnhtbESPQWvCQBSE74L/YXmCN91UMZXUVdpSoV4Kago9PrLP&#10;bNrs25jdavLvXaHQ4zAz3zCrTWdrcaHWV44VPEwTEMSF0xWXCvLjdrIE4QOyxtoxKejJw2Y9HKww&#10;0+7Ke7ocQikihH2GCkwITSalLwxZ9FPXEEfv5FqLIcq2lLrFa4TbWs6SJJUWK44LBht6NVT8HH6t&#10;gs+Px3ybn09v/SKdL7+/8pdjvzNKjUfd8xOIQF34D/+137WCFO5X4g2Q6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u/IuxQAAANoAAAAPAAAAAAAAAAAAAAAAAJgCAABkcnMv&#10;ZG93bnJldi54bWxQSwUGAAAAAAQABAD1AAAAigMAAAAA&#10;" fillcolor="#4f81bd [3204]" strokecolor="#243f60 [1604]" strokeweight="2pt"/>
                <v:rect id="矩形 7" o:spid="_x0000_s1028" style="position:absolute;left:15166;top:94072;width:356;height:265;rotation:-2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dXtcQA&#10;AADaAAAADwAAAGRycy9kb3ducmV2LnhtbESPQWvCQBSE7wX/w/KE3urGSlWiq9ii0F6EagSPj+wz&#10;G82+TbNbTf69Wyh4HGbmG2a+bG0lrtT40rGC4SABQZw7XXKhINtvXqYgfEDWWDkmBR15WC56T3NM&#10;tbvxN113oRARwj5FBSaEOpXS54Ys+oGriaN3co3FEGVTSN3gLcJtJV+TZCwtlhwXDNb0YSi/7H6t&#10;gsN2km2yn9O6exuPpudj9r7vvoxSz/12NQMRqA2P8H/7UyuYwN+VeAPk4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33V7XEAAAA2gAAAA8AAAAAAAAAAAAAAAAAmAIAAGRycy9k&#10;b3ducmV2LnhtbFBLBQYAAAAABAAEAPUAAACJAwAAAAA=&#10;" fillcolor="#4f81bd [3204]" strokecolor="#243f60 [1604]" strokeweight="2pt"/>
                <v:rect id="矩形 8" o:spid="_x0000_s1029" style="position:absolute;left:14601;top:94301;width:460;height:265;rotation:-2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jDx8EA&#10;AADaAAAADwAAAGRycy9kb3ducmV2LnhtbERPz2vCMBS+C/4P4Qm7aaoyJ51RVBS2izDtYMdH82yq&#10;zUttMm3/++Ug7Pjx/V6sWluJOzW+dKxgPEpAEOdOl1woyE774RyED8gaK8ekoCMPq2W/t8BUuwd/&#10;0f0YChFD2KeowIRQp1L63JBFP3I1ceTOrrEYImwKqRt8xHBbyUmSzKTFkmODwZq2hvLr8dcq+D68&#10;Zfvsdt51r7Pp/PKTbU7dp1HqZdCu30EEasO/+On+0Ari1ngl3gC5/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xow8fBAAAA2gAAAA8AAAAAAAAAAAAAAAAAmAIAAGRycy9kb3du&#10;cmV2LnhtbFBLBQYAAAAABAAEAPUAAACGAwAAAAA=&#10;" fillcolor="#4f81bd [3204]" strokecolor="#243f60 [1604]" strokeweight="2pt"/>
                <v:rect id="矩形 10" o:spid="_x0000_s1030" style="position:absolute;left:16126;top:93697;width:356;height:265;rotation:-2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VrMYA&#10;AADbAAAADwAAAGRycy9kb3ducmV2LnhtbESPQU/CQBCF7yb+h82YcJOtGpBUFqJGEriYADXxOOkO&#10;3Wp3tnYXaP89czDhNpP35r1v5sveN+pEXawDG3gYZ6CIy2BrrgwU+9X9DFRMyBabwGRgoAjLxe3N&#10;HHMbzryl0y5VSkI45mjApdTmWsfSkcc4Di2xaIfQeUyydpW2HZ4l3Df6Mcum2mPN0uCwpXdH5e/u&#10;6A18fT4Xq+Lv8DFMpk+zn+/ibT9snDGju/71BVSiPl3N/9drK/hCL7/IAHp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P/VrMYAAADbAAAADwAAAAAAAAAAAAAAAACYAgAAZHJz&#10;L2Rvd25yZXYueG1sUEsFBgAAAAAEAAQA9QAAAIsDAAAAAA==&#10;" fillcolor="#4f81bd [3204]" strokecolor="#243f60 [1604]" strokeweight="2pt"/>
                <v:rect id="矩形 9" o:spid="_x0000_s1031" style="position:absolute;left:16502;top:93532;width:356;height:265;rotation:-2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RmXMUA&#10;AADaAAAADwAAAGRycy9kb3ducmV2LnhtbESPT2vCQBTE74V+h+UVeqsbLf6LrlKlgr0U1AgeH9ln&#10;Njb7Nma3mnz7bqHQ4zAzv2Hmy9ZW4kaNLx0r6PcSEMS50yUXCrLD5mUCwgdkjZVjUtCRh+Xi8WGO&#10;qXZ33tFtHwoRIexTVGBCqFMpfW7Iou+5mjh6Z9dYDFE2hdQN3iPcVnKQJCNpseS4YLCmtaH8a/9t&#10;FRw/x9kmu57fu+HodXI5ZatD92GUen5q32YgArXhP/zX3moFU/i9Em+AX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JGZcxQAAANoAAAAPAAAAAAAAAAAAAAAAAJgCAABkcnMv&#10;ZG93bnJldi54bWxQSwUGAAAAAAQABAD1AAAAigMAAAAA&#10;" fillcolor="#4f81bd [3204]" strokecolor="#243f60 [1604]" strokeweight="2pt"/>
                <v:rect id="矩形 11" o:spid="_x0000_s1032" style="position:absolute;left:16936;top:93472;width:356;height:17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EkKL8A&#10;AADbAAAADwAAAGRycy9kb3ducmV2LnhtbERPzYrCMBC+C75DGMGbpl1ESzWKCLKyl2XVBxiasa02&#10;k5JEW/fpN8KCt/n4fme16U0jHuR8bVlBOk1AEBdW11wqOJ/2kwyED8gaG8uk4EkeNuvhYIW5th3/&#10;0OMYShFD2OeooAqhzaX0RUUG/dS2xJG7WGcwROhKqR12Mdw08iNJ5tJgzbGhwpZ2FRW3490osOl3&#10;+Dp1sztT5z6z+lo0v4tMqfGo3y5BBOrDW/zvPug4P4XXL/EAuf4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rYSQovwAAANsAAAAPAAAAAAAAAAAAAAAAAJgCAABkcnMvZG93bnJl&#10;di54bWxQSwUGAAAAAAQABAD1AAAAhAMAAAAA&#10;" fillcolor="#4f81bd [3204]" strokecolor="#243f60 [1604]" strokeweight="2pt"/>
                <v:rect id="矩形 12" o:spid="_x0000_s1033" style="position:absolute;left:17371;top:93442;width:356;height:17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O6X8EA&#10;AADbAAAADwAAAGRycy9kb3ducmV2LnhtbERP22rCQBB9L/gPywi+1U2CtCG6igil0pdS9QOG7JhE&#10;s7Nhd3OxX98tFPo2h3OdzW4yrRjI+caygnSZgCAurW64UnA5vz3nIHxA1thaJgUP8rDbzp42WGg7&#10;8hcNp1CJGMK+QAV1CF0hpS9rMuiXtiOO3NU6gyFCV0ntcIzhppVZkrxIgw3Hhho7OtRU3k+9UWDT&#10;z/BxHlc90+je8+ZWtt+vuVKL+bRfgwg0hX/xn/uo4/wMfn+JB8jt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uzul/BAAAA2wAAAA8AAAAAAAAAAAAAAAAAmAIAAGRycy9kb3du&#10;cmV2LnhtbFBLBQYAAAAABAAEAPUAAACGAwAAAAA=&#10;" fillcolor="#4f81bd [3204]" strokecolor="#243f60 [1604]" strokeweight="2pt"/>
              </v:group>
            </w:pict>
          </mc:Fallback>
        </mc:AlternateContent>
      </w:r>
      <w:r>
        <w:rPr>
          <w:noProof/>
        </w:rPr>
        <mc:AlternateContent>
          <mc:Choice Requires="wps">
            <w:drawing>
              <wp:anchor distT="0" distB="0" distL="114300" distR="114300" simplePos="0" relativeHeight="251659264" behindDoc="0" locked="0" layoutInCell="1" allowOverlap="1" wp14:anchorId="146C1C10" wp14:editId="127D6091">
                <wp:simplePos x="0" y="0"/>
                <wp:positionH relativeFrom="column">
                  <wp:posOffset>2058670</wp:posOffset>
                </wp:positionH>
                <wp:positionV relativeFrom="paragraph">
                  <wp:posOffset>-553085</wp:posOffset>
                </wp:positionV>
                <wp:extent cx="4697730" cy="491490"/>
                <wp:effectExtent l="4445" t="4445" r="22225" b="18415"/>
                <wp:wrapNone/>
                <wp:docPr id="1" name="文本框 1"/>
                <wp:cNvGraphicFramePr/>
                <a:graphic xmlns:a="http://schemas.openxmlformats.org/drawingml/2006/main">
                  <a:graphicData uri="http://schemas.microsoft.com/office/word/2010/wordprocessingShape">
                    <wps:wsp>
                      <wps:cNvSpPr txBox="1"/>
                      <wps:spPr>
                        <a:xfrm>
                          <a:off x="2973070" y="589915"/>
                          <a:ext cx="4697730" cy="491490"/>
                        </a:xfrm>
                        <a:prstGeom prst="rect">
                          <a:avLst/>
                        </a:prstGeom>
                        <a:solidFill>
                          <a:srgbClr val="FFFFFF"/>
                        </a:solidFill>
                        <a:ln w="6350">
                          <a:solidFill>
                            <a:srgbClr val="FFFFFF"/>
                          </a:solidFill>
                        </a:ln>
                        <a:effectLst/>
                      </wps:spPr>
                      <wps:txbx>
                        <w:txbxContent>
                          <w:p w:rsidR="00E2016F" w:rsidRDefault="00E2016F" w:rsidP="00E2016F">
                            <w:pPr>
                              <w:rPr>
                                <w:sz w:val="28"/>
                                <w:szCs w:val="28"/>
                              </w:rPr>
                            </w:pPr>
                            <w:r>
                              <w:rPr>
                                <w:rFonts w:hint="eastAsia"/>
                                <w:sz w:val="28"/>
                                <w:szCs w:val="28"/>
                              </w:rPr>
                              <w:t>浙江图书馆曙光路总馆一楼大厅读者综合服务区域示意图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 o:spid="_x0000_s1027" type="#_x0000_t202" style="position:absolute;left:0;text-align:left;margin-left:162.1pt;margin-top:-43.55pt;width:369.9pt;height:38.7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" strokecolor="white" strokeweight=".5pt">
                <v:textbox>
                  <w:txbxContent>
                    <w:p w:rsidR="00E2016F" w:rsidRDefault="00E2016F" w:rsidP="00E2016F">
                      <w:pPr>
                        <w:rPr>
                          <w:sz w:val="28"/>
                          <w:szCs w:val="28"/>
                        </w:rPr>
                      </w:pPr>
                      <w:r>
                        <w:rPr>
                          <w:rFonts w:hint="eastAsia"/>
                          <w:sz w:val="28"/>
                          <w:szCs w:val="28"/>
                        </w:rPr>
                        <w:t>浙江图书馆曙光路总馆一楼大厅读者综合服务区域示意图</w:t>
                      </w:r>
                    </w:p>
                  </w:txbxContent>
                </v:textbox>
              </v:shape>
            </w:pict>
          </mc:Fallback>
        </mc:AlternateContent>
      </w:r>
      <w:r>
        <w:rPr>
          <w:rFonts w:asciiTheme="minorEastAsia" w:eastAsiaTheme="minorEastAsia" w:hAnsiTheme="minorEastAsia" w:cstheme="minorEastAsia" w:hint="eastAsia"/>
          <w:noProof/>
          <w:sz w:val="24"/>
        </w:rPr>
        <w:drawing>
          <wp:inline distT="0" distB="0" distL="114300" distR="114300" wp14:anchorId="6EEE4A7A" wp14:editId="46AC262D">
            <wp:extent cx="8857615" cy="5213350"/>
            <wp:effectExtent l="0" t="0" r="635" b="6350"/>
            <wp:docPr id="3" name="图片 3" descr="总馆一层平面图（修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总馆一层平面图（修改）"/>
                    <pic:cNvPicPr>
                      <a:picLocks noChangeAspect="1"/>
                    </pic:cNvPicPr>
                  </pic:nvPicPr>
                  <pic:blipFill>
                    <a:blip r:embed="rId7"/>
                    <a:stretch>
                      <a:fillRect/>
                    </a:stretch>
                  </pic:blipFill>
                  <pic:spPr>
                    <a:xfrm>
                      <a:off x="0" y="0"/>
                      <a:ext cx="8857615" cy="5213350"/>
                    </a:xfrm>
                    <a:prstGeom prst="rect">
                      <a:avLst/>
                    </a:prstGeom>
                  </pic:spPr>
                </pic:pic>
              </a:graphicData>
            </a:graphic>
          </wp:inline>
        </w:drawing>
      </w:r>
      <w:bookmarkStart w:id="0" w:name="_GoBack"/>
      <w:bookmarkEnd w:id="0"/>
    </w:p>
    <w:sectPr w:rsidR="0034666D" w:rsidSect="00E2016F">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等线">
    <w:altName w:val="Arial Unicode MS"/>
    <w:charset w:val="86"/>
    <w:family w:val="auto"/>
    <w:pitch w:val="default"/>
    <w:sig w:usb0="00000000" w:usb1="00000000" w:usb2="00000016" w:usb3="00000000" w:csb0="0004000F" w:csb1="00000000"/>
  </w:font>
  <w:font w:name="方正大标宋简体">
    <w:panose1 w:val="02010601030101010101"/>
    <w:charset w:val="86"/>
    <w:family w:val="auto"/>
    <w:pitch w:val="variable"/>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2A73" w:rsidRDefault="00E2016F">
    <w:pPr>
      <w:pStyle w:val="a4"/>
    </w:pPr>
    <w:r>
      <w:rPr>
        <w:noProof/>
      </w:rPr>
      <mc:AlternateContent>
        <mc:Choice Requires="wps">
          <w:drawing>
            <wp:anchor distT="0" distB="0" distL="114300" distR="114300" simplePos="0" relativeHeight="251659264" behindDoc="0" locked="0" layoutInCell="1" allowOverlap="1" wp14:anchorId="0B6DE03D" wp14:editId="114037F0">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E2A73" w:rsidRDefault="00E2016F">
                          <w:pPr>
                            <w:snapToGrid w:val="0"/>
                            <w:rPr>
                              <w:rFonts w:eastAsiaTheme="minor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4</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1028"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DMG+Y8YgIAAAwFAAAOAAAAAAAAAAAAAAAAAC4CAABkcnMvZTJvRG9jLnht&#10;bFBLAQItABQABgAIAAAAIQBxqtG51wAAAAUBAAAPAAAAAAAAAAAAAAAAALwEAABkcnMvZG93bnJl&#10;di54bWxQSwUGAAAAAAQABADzAAAAwAUAAAAA&#10;" filled="f" stroked="f" strokeweight=".5pt">
              <v:textbox style="mso-fit-shape-to-text:t" inset="0,0,0,0">
                <w:txbxContent>
                  <w:p w:rsidR="002E2A73" w:rsidRDefault="00E2016F">
                    <w:pPr>
                      <w:snapToGrid w:val="0"/>
                      <w:rPr>
                        <w:rFonts w:eastAsiaTheme="minor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4</w:t>
                    </w:r>
                    <w:r>
                      <w:rPr>
                        <w:rFonts w:hint="eastAsia"/>
                        <w:sz w:val="18"/>
                      </w:rPr>
                      <w:fldChar w:fldCharType="end"/>
                    </w:r>
                  </w:p>
                </w:txbxContent>
              </v:textbox>
              <w10:wrap anchorx="margin"/>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3C6C4C"/>
    <w:multiLevelType w:val="singleLevel"/>
    <w:tmpl w:val="5B3C6C4C"/>
    <w:lvl w:ilvl="0">
      <w:start w:val="5"/>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016F"/>
    <w:rsid w:val="0034666D"/>
    <w:rsid w:val="00E201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016F"/>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unhideWhenUsed/>
    <w:rsid w:val="00E2016F"/>
    <w:pPr>
      <w:spacing w:after="120"/>
    </w:pPr>
    <w:rPr>
      <w:rFonts w:ascii="Times New Roman" w:hAnsi="Times New Roman"/>
      <w:szCs w:val="24"/>
    </w:rPr>
  </w:style>
  <w:style w:type="character" w:customStyle="1" w:styleId="Char">
    <w:name w:val="正文文本 Char"/>
    <w:basedOn w:val="a0"/>
    <w:link w:val="a3"/>
    <w:uiPriority w:val="99"/>
    <w:rsid w:val="00E2016F"/>
    <w:rPr>
      <w:rFonts w:ascii="Times New Roman" w:eastAsia="等线" w:hAnsi="Times New Roman" w:cs="Times New Roman"/>
      <w:szCs w:val="24"/>
    </w:rPr>
  </w:style>
  <w:style w:type="paragraph" w:styleId="a4">
    <w:name w:val="footer"/>
    <w:basedOn w:val="a"/>
    <w:link w:val="Char0"/>
    <w:uiPriority w:val="99"/>
    <w:unhideWhenUsed/>
    <w:rsid w:val="00E2016F"/>
    <w:pPr>
      <w:tabs>
        <w:tab w:val="center" w:pos="4153"/>
        <w:tab w:val="right" w:pos="8306"/>
      </w:tabs>
      <w:snapToGrid w:val="0"/>
      <w:jc w:val="left"/>
    </w:pPr>
    <w:rPr>
      <w:sz w:val="18"/>
    </w:rPr>
  </w:style>
  <w:style w:type="character" w:customStyle="1" w:styleId="Char0">
    <w:name w:val="页脚 Char"/>
    <w:basedOn w:val="a0"/>
    <w:link w:val="a4"/>
    <w:uiPriority w:val="99"/>
    <w:rsid w:val="00E2016F"/>
    <w:rPr>
      <w:rFonts w:ascii="等线" w:eastAsia="等线" w:hAnsi="等线" w:cs="Times New Roman"/>
      <w:sz w:val="18"/>
    </w:rPr>
  </w:style>
  <w:style w:type="paragraph" w:styleId="a5">
    <w:name w:val="Balloon Text"/>
    <w:basedOn w:val="a"/>
    <w:link w:val="Char1"/>
    <w:uiPriority w:val="99"/>
    <w:semiHidden/>
    <w:unhideWhenUsed/>
    <w:rsid w:val="00E2016F"/>
    <w:rPr>
      <w:sz w:val="18"/>
      <w:szCs w:val="18"/>
    </w:rPr>
  </w:style>
  <w:style w:type="character" w:customStyle="1" w:styleId="Char1">
    <w:name w:val="批注框文本 Char"/>
    <w:basedOn w:val="a0"/>
    <w:link w:val="a5"/>
    <w:uiPriority w:val="99"/>
    <w:semiHidden/>
    <w:rsid w:val="00E2016F"/>
    <w:rPr>
      <w:rFonts w:ascii="等线" w:eastAsia="等线" w:hAnsi="等线"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016F"/>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unhideWhenUsed/>
    <w:rsid w:val="00E2016F"/>
    <w:pPr>
      <w:spacing w:after="120"/>
    </w:pPr>
    <w:rPr>
      <w:rFonts w:ascii="Times New Roman" w:hAnsi="Times New Roman"/>
      <w:szCs w:val="24"/>
    </w:rPr>
  </w:style>
  <w:style w:type="character" w:customStyle="1" w:styleId="Char">
    <w:name w:val="正文文本 Char"/>
    <w:basedOn w:val="a0"/>
    <w:link w:val="a3"/>
    <w:uiPriority w:val="99"/>
    <w:rsid w:val="00E2016F"/>
    <w:rPr>
      <w:rFonts w:ascii="Times New Roman" w:eastAsia="等线" w:hAnsi="Times New Roman" w:cs="Times New Roman"/>
      <w:szCs w:val="24"/>
    </w:rPr>
  </w:style>
  <w:style w:type="paragraph" w:styleId="a4">
    <w:name w:val="footer"/>
    <w:basedOn w:val="a"/>
    <w:link w:val="Char0"/>
    <w:uiPriority w:val="99"/>
    <w:unhideWhenUsed/>
    <w:rsid w:val="00E2016F"/>
    <w:pPr>
      <w:tabs>
        <w:tab w:val="center" w:pos="4153"/>
        <w:tab w:val="right" w:pos="8306"/>
      </w:tabs>
      <w:snapToGrid w:val="0"/>
      <w:jc w:val="left"/>
    </w:pPr>
    <w:rPr>
      <w:sz w:val="18"/>
    </w:rPr>
  </w:style>
  <w:style w:type="character" w:customStyle="1" w:styleId="Char0">
    <w:name w:val="页脚 Char"/>
    <w:basedOn w:val="a0"/>
    <w:link w:val="a4"/>
    <w:uiPriority w:val="99"/>
    <w:rsid w:val="00E2016F"/>
    <w:rPr>
      <w:rFonts w:ascii="等线" w:eastAsia="等线" w:hAnsi="等线" w:cs="Times New Roman"/>
      <w:sz w:val="18"/>
    </w:rPr>
  </w:style>
  <w:style w:type="paragraph" w:styleId="a5">
    <w:name w:val="Balloon Text"/>
    <w:basedOn w:val="a"/>
    <w:link w:val="Char1"/>
    <w:uiPriority w:val="99"/>
    <w:semiHidden/>
    <w:unhideWhenUsed/>
    <w:rsid w:val="00E2016F"/>
    <w:rPr>
      <w:sz w:val="18"/>
      <w:szCs w:val="18"/>
    </w:rPr>
  </w:style>
  <w:style w:type="character" w:customStyle="1" w:styleId="Char1">
    <w:name w:val="批注框文本 Char"/>
    <w:basedOn w:val="a0"/>
    <w:link w:val="a5"/>
    <w:uiPriority w:val="99"/>
    <w:semiHidden/>
    <w:rsid w:val="00E2016F"/>
    <w:rPr>
      <w:rFonts w:ascii="等线" w:eastAsia="等线" w:hAnsi="等线"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261</Words>
  <Characters>1488</Characters>
  <Application>Microsoft Office Word</Application>
  <DocSecurity>0</DocSecurity>
  <Lines>12</Lines>
  <Paragraphs>3</Paragraphs>
  <ScaleCrop>false</ScaleCrop>
  <Company/>
  <LinksUpToDate>false</LinksUpToDate>
  <CharactersWithSpaces>1746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邱诚</dc:creator>
  <cp:lastModifiedBy>邱诚</cp:lastModifiedBy>
  <cp:revision>1</cp:revision>
  <dcterms:created xsi:type="dcterms:W3CDTF">2018-08-09T06:51:00Z</dcterms:created>
  <dcterms:modified xsi:type="dcterms:W3CDTF">2018-08-09T06:52:00Z</dcterms:modified>
</cp:coreProperties>
</file>